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DF" w:rsidRDefault="006471DF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bookmarkStart w:id="0" w:name="_GoBack"/>
      <w:bookmarkEnd w:id="0"/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)</w: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School Support Summary</w:t>
      </w:r>
    </w:p>
    <w:p w:rsidR="00EF52CC" w:rsidRPr="003045A9" w:rsidRDefault="00AA2C3D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 xml:space="preserve">for the </w:t>
      </w:r>
      <w:r w:rsidR="00C70CF1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2020/21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br/>
      </w:r>
    </w:p>
    <w:p w:rsidR="00FA5D2B" w:rsidRPr="003045A9" w:rsidRDefault="002D1794" w:rsidP="00675D89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Name of School: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FA5D2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</w:t>
      </w:r>
      <w:r w:rsidR="00CA66E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TWGHs Kwan Fong Kai Chi School </w:t>
      </w:r>
      <w:r w:rsidR="00FA5D2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</w:t>
      </w:r>
      <w:r w:rsidR="003312C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</w:p>
    <w:p w:rsidR="00B722B4" w:rsidRPr="002D0FB5" w:rsidRDefault="00B722B4" w:rsidP="002D0FB5">
      <w:pPr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Pr="003045A9" w:rsidRDefault="002D1794" w:rsidP="002D0FB5">
      <w:pPr>
        <w:pStyle w:val="ac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Education Bureau in the </w:t>
      </w:r>
      <w:r w:rsidR="00FA5D2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2020/21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provided support for our NCS student(s) and assigned a dedicated teacher/team to coordinate relating matters. </w:t>
      </w:r>
      <w:r w:rsidR="007468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put a tick in the box(es)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</w:p>
    <w:p w:rsidR="006E5FC7" w:rsidRPr="003045A9" w:rsidRDefault="001E2BEC" w:rsidP="002D0FB5">
      <w:pPr>
        <w:adjustRightInd w:val="0"/>
        <w:snapToGrid w:val="0"/>
        <w:spacing w:after="0" w:line="300" w:lineRule="exact"/>
        <w:jc w:val="both"/>
        <w:rPr>
          <w:rFonts w:asciiTheme="minorEastAsia" w:hAnsiTheme="minorEastAsia"/>
          <w:kern w:val="2"/>
          <w:sz w:val="26"/>
          <w:szCs w:val="26"/>
          <w:lang w:eastAsia="zh-TW"/>
          <w14:cntxtAlts/>
        </w:rPr>
      </w:pPr>
      <w:r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br/>
      </w:r>
    </w:p>
    <w:p w:rsidR="008D3CC9" w:rsidRPr="003045A9" w:rsidRDefault="007A5948" w:rsidP="003C5A64">
      <w:pPr>
        <w:pStyle w:val="ac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in the 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2020/21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school year</w:t>
      </w:r>
      <w:r w:rsidR="007F41C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(one or more options can be </w:t>
      </w:r>
      <w:proofErr w:type="gramStart"/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selected)#</w:t>
      </w:r>
      <w:proofErr w:type="gramEnd"/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: </w:t>
      </w:r>
    </w:p>
    <w:p w:rsidR="00B722B4" w:rsidRPr="003045A9" w:rsidRDefault="00B722B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564C0B" w:rsidRPr="003045A9">
        <w:rPr>
          <w:rFonts w:asciiTheme="minorEastAsia" w:hAnsiTheme="minorEastAsia"/>
          <w:color w:val="FFFFFF" w:themeColor="background1"/>
          <w:kern w:val="2"/>
          <w:sz w:val="26"/>
          <w:szCs w:val="26"/>
          <w:lang w:eastAsia="zh-TW"/>
          <w14:cntxtAlts/>
        </w:rPr>
        <w:t>.</w:t>
      </w:r>
      <w:r w:rsidR="00CA66EE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sym w:font="Wingdings" w:char="F0FE"/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ppointing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</w:t>
      </w:r>
      <w:r w:rsidR="00CA66E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1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433F2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additional</w:t>
      </w:r>
      <w:r w:rsidR="001408A3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and 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</w:t>
      </w:r>
      <w:r w:rsidR="00CA66E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different</w:t>
      </w:r>
      <w:r w:rsidR="00B85AD7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.</w:t>
      </w:r>
    </w:p>
    <w:p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  <w14:cntxtAlts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353"/>
        <w:gridCol w:w="876"/>
        <w:gridCol w:w="3660"/>
        <w:gridCol w:w="851"/>
      </w:tblGrid>
      <w:tr w:rsidR="001E2BEC" w:rsidRPr="003C5A64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CA66EE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sym w:font="Wingdings" w:char="F0FE"/>
            </w:r>
          </w:p>
        </w:tc>
        <w:tc>
          <w:tcPr>
            <w:tcW w:w="3353" w:type="dxa"/>
          </w:tcPr>
          <w:p w:rsidR="00EE5DE8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Pull-out learning</w:t>
            </w:r>
          </w:p>
          <w:p w:rsidR="001A60C1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: 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CA66EE">
              <w:rPr>
                <w:rFonts w:ascii="Times New Roman" w:eastAsia="DengXian" w:hAnsi="Times New Roman" w:cs="Times New Roman" w:hint="eastAsia"/>
                <w:kern w:val="2"/>
                <w:sz w:val="26"/>
                <w:szCs w:val="26"/>
                <w:u w:val="single"/>
                <w14:cntxtAlts/>
              </w:rPr>
              <w:t>P</w:t>
            </w:r>
            <w:r w:rsidR="00CA66EE"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  <w:t>.5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310CC8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CA66EE">
              <w:rPr>
                <w:rFonts w:ascii="Times New Roman" w:eastAsia="DengXian" w:hAnsi="Times New Roman" w:cs="Times New Roman" w:hint="eastAsia"/>
                <w:kern w:val="2"/>
                <w:sz w:val="26"/>
                <w:szCs w:val="26"/>
                <w:u w:val="single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9F5BB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E217EF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Split-class/group learning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CA66EE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3353" w:type="dxa"/>
          </w:tcPr>
          <w:p w:rsidR="004E24F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Increasing Chinese Language lesson time</w:t>
            </w:r>
          </w:p>
          <w:p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6EE" w:rsidRPr="00CA66EE">
              <w:rPr>
                <w:rFonts w:ascii="Arial" w:hAnsi="Arial" w:cs="Arial"/>
                <w:u w:val="single"/>
                <w:lang w:val="en-US"/>
              </w:rPr>
              <w:t>P.1-6,S.5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CA66EE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sym w:font="Wingdings" w:char="F0FE"/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/In-class support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CA66EE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6EE" w:rsidRPr="00CA66EE">
              <w:rPr>
                <w:rFonts w:ascii="Arial" w:hAnsi="Arial" w:cs="Arial"/>
                <w:u w:val="single"/>
                <w:lang w:val="en-US"/>
              </w:rPr>
              <w:t>P.1-6,S.5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B85AD7" w:rsidRPr="003045A9" w:rsidRDefault="00CA66EE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3353" w:type="dxa"/>
          </w:tcPr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Chinese across the curriculum</w:t>
            </w:r>
          </w:p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CA66EE" w:rsidRPr="00CA66EE">
              <w:rPr>
                <w:rFonts w:ascii="Arial" w:hAnsi="Arial" w:cs="Arial"/>
                <w:u w:val="single"/>
                <w:lang w:val="en-US"/>
              </w:rPr>
              <w:t>P.1-6</w:t>
            </w:r>
            <w:r w:rsidR="00CA66EE">
              <w:rPr>
                <w:rFonts w:ascii="Arial" w:hAnsi="Arial" w:cs="Arial"/>
                <w:u w:val="single"/>
                <w:lang w:val="en-US"/>
              </w:rPr>
              <w:t xml:space="preserve">      </w:t>
            </w:r>
            <w:r w:rsidRPr="00CA66EE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B85AD7" w:rsidRPr="003045A9" w:rsidRDefault="00CA66EE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sym w:font="Wingdings" w:char="F0FE"/>
            </w:r>
          </w:p>
        </w:tc>
        <w:tc>
          <w:tcPr>
            <w:tcW w:w="3660" w:type="dxa"/>
          </w:tcPr>
          <w:p w:rsidR="00B85AD7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Adopting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 school-based Chinese Language curriculum and/or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adapted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learning and teaching materials</w:t>
            </w:r>
          </w:p>
          <w:p w:rsidR="001E2BEC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6EE" w:rsidRPr="00CA66EE">
              <w:rPr>
                <w:rFonts w:ascii="Arial" w:hAnsi="Arial" w:cs="Arial"/>
                <w:u w:val="single"/>
                <w:lang w:val="en-US"/>
              </w:rPr>
              <w:t>P.1-6,S.5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51" w:type="dxa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1E2BEC" w:rsidRPr="003C5A64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:rsidR="00B85AD7" w:rsidRPr="003045A9" w:rsidRDefault="00B85AD7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  <w:tr w:rsidR="001E2BEC" w:rsidRPr="003C5A64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806830" w:rsidP="002D0FB5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After-school</w:t>
            </w:r>
            <w:r w:rsidR="00F4638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/after-</w:t>
            </w:r>
            <w:proofErr w:type="gramStart"/>
            <w:r w:rsidR="00F4638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class </w:t>
            </w:r>
            <w:r w:rsidR="007F41C6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support</w:t>
            </w:r>
            <w:proofErr w:type="gramEnd"/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A66EE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3353" w:type="dxa"/>
          </w:tcPr>
          <w:p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6EE" w:rsidRPr="00CA66EE">
              <w:rPr>
                <w:rFonts w:ascii="Arial" w:hAnsi="Arial" w:cs="Arial"/>
                <w:u w:val="single"/>
                <w:lang w:val="en-US"/>
              </w:rPr>
              <w:t>P.1-6,S.5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Summer </w:t>
            </w:r>
            <w:proofErr w:type="gramStart"/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bridging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course</w:t>
            </w:r>
            <w:proofErr w:type="gramEnd"/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</w:p>
          <w:p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earning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Guided story reading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544"/>
        </w:trPr>
        <w:tc>
          <w:tcPr>
            <w:tcW w:w="758" w:type="dxa"/>
            <w:shd w:val="clear" w:color="auto" w:fill="auto"/>
          </w:tcPr>
          <w:p w:rsidR="001E2BEC" w:rsidRPr="003045A9" w:rsidRDefault="00CA66EE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740" w:type="dxa"/>
            <w:gridSpan w:val="4"/>
          </w:tcPr>
          <w:p w:rsidR="001E2BEC" w:rsidRPr="00385CB8" w:rsidRDefault="001E2BEC" w:rsidP="00E019EB">
            <w:pPr>
              <w:adjustRightInd w:val="0"/>
              <w:snapToGrid w:val="0"/>
              <w:spacing w:before="120" w:after="0" w:line="300" w:lineRule="exact"/>
              <w:ind w:left="260" w:hangingChars="100" w:hanging="26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385CB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             </w:t>
            </w:r>
            <w:r w:rsidR="00E019EB" w:rsidRPr="00E019EB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Individual Educational Program</w:t>
            </w:r>
            <w:r w:rsidR="00C42064" w:rsidRPr="00C4206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            </w:t>
            </w:r>
            <w:r w:rsidR="00385CB8" w:rsidRPr="00C4206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         </w:t>
            </w:r>
            <w:r w:rsidR="00385CB8" w:rsidRPr="00385CB8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    </w:t>
            </w:r>
            <w:r w:rsidR="00385CB8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E019EB" w:rsidRPr="00E019E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</w:p>
        </w:tc>
      </w:tr>
    </w:tbl>
    <w:p w:rsidR="00904EDE" w:rsidRPr="003045A9" w:rsidRDefault="00FC0218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lastRenderedPageBreak/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(one or more options can be </w:t>
      </w:r>
      <w:proofErr w:type="gramStart"/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selected)#</w:t>
      </w:r>
      <w:proofErr w:type="gramEnd"/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:</w:t>
      </w:r>
    </w:p>
    <w:p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845"/>
      </w:tblGrid>
      <w:tr w:rsidR="00D90F53" w:rsidRPr="003C5A64" w:rsidTr="00D24115">
        <w:trPr>
          <w:trHeight w:val="599"/>
        </w:trPr>
        <w:tc>
          <w:tcPr>
            <w:tcW w:w="510" w:type="dxa"/>
            <w:shd w:val="clear" w:color="auto" w:fill="auto"/>
          </w:tcPr>
          <w:p w:rsidR="00D90F53" w:rsidRPr="003045A9" w:rsidRDefault="00385CB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845" w:type="dxa"/>
            <w:shd w:val="clear" w:color="auto" w:fill="auto"/>
          </w:tcPr>
          <w:p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important matters on school webpage</w:t>
            </w:r>
          </w:p>
        </w:tc>
      </w:tr>
      <w:tr w:rsidR="001A6FCD" w:rsidRPr="003C5A64" w:rsidTr="009A6DB1">
        <w:trPr>
          <w:trHeight w:val="2445"/>
        </w:trPr>
        <w:tc>
          <w:tcPr>
            <w:tcW w:w="510" w:type="dxa"/>
            <w:shd w:val="clear" w:color="auto" w:fill="auto"/>
          </w:tcPr>
          <w:p w:rsidR="001A6FCD" w:rsidRPr="003045A9" w:rsidRDefault="00385CB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845" w:type="dxa"/>
            <w:shd w:val="clear" w:color="auto" w:fill="auto"/>
          </w:tcPr>
          <w:p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sensitivity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9"/>
            </w:tblGrid>
            <w:tr w:rsidR="009A6DB1" w:rsidTr="009A6DB1">
              <w:tc>
                <w:tcPr>
                  <w:tcW w:w="8619" w:type="dxa"/>
                </w:tcPr>
                <w:p w:rsidR="009A6DB1" w:rsidRPr="009A6DB1" w:rsidRDefault="009A6DB1" w:rsidP="009A6DB1">
                  <w:pPr>
                    <w:pStyle w:val="ac"/>
                    <w:numPr>
                      <w:ilvl w:val="0"/>
                      <w:numId w:val="6"/>
                    </w:numPr>
                    <w:snapToGrid w:val="0"/>
                    <w:spacing w:after="120" w:line="280" w:lineRule="exact"/>
                    <w:ind w:leftChars="0"/>
                    <w:jc w:val="both"/>
                    <w:rPr>
                      <w:rFonts w:ascii="Times New Roman" w:eastAsia="DengXian" w:hAnsi="Times New Roman" w:cs="Times New Roman"/>
                      <w:kern w:val="2"/>
                      <w14:cntxtAlts/>
                    </w:rPr>
                  </w:pPr>
                  <w:r w:rsidRPr="009A6DB1">
                    <w:rPr>
                      <w:rFonts w:ascii="Times New Roman" w:eastAsia="DengXian" w:hAnsi="Times New Roman" w:cs="Times New Roman"/>
                      <w:kern w:val="2"/>
                      <w14:cntxtAlts/>
                    </w:rPr>
                    <w:t>Inclusion Activity-Cultural Clothes Day (Clothes for different cultures)</w:t>
                  </w:r>
                </w:p>
              </w:tc>
            </w:tr>
            <w:tr w:rsidR="009A6DB1" w:rsidTr="009A6DB1">
              <w:tc>
                <w:tcPr>
                  <w:tcW w:w="8619" w:type="dxa"/>
                </w:tcPr>
                <w:p w:rsidR="009A6DB1" w:rsidRPr="009A6DB1" w:rsidRDefault="009A6DB1" w:rsidP="009A6DB1">
                  <w:pPr>
                    <w:pStyle w:val="ac"/>
                    <w:numPr>
                      <w:ilvl w:val="0"/>
                      <w:numId w:val="6"/>
                    </w:numPr>
                    <w:snapToGrid w:val="0"/>
                    <w:spacing w:after="120" w:line="280" w:lineRule="exact"/>
                    <w:ind w:leftChars="0"/>
                    <w:jc w:val="both"/>
                    <w:rPr>
                      <w:rFonts w:ascii="Times New Roman" w:eastAsia="DengXian" w:hAnsi="Times New Roman" w:cs="Times New Roman"/>
                      <w:kern w:val="2"/>
                      <w14:cntxtAlts/>
                    </w:rPr>
                  </w:pPr>
                  <w:r w:rsidRPr="009A6DB1">
                    <w:rPr>
                      <w:rFonts w:ascii="Times New Roman" w:eastAsia="DengXian" w:hAnsi="Times New Roman" w:cs="Times New Roman"/>
                      <w:kern w:val="2"/>
                      <w14:cntxtAlts/>
                    </w:rPr>
                    <w:t>Inclusion Activity-Food Carnival (Food for different cultures)</w:t>
                  </w:r>
                </w:p>
              </w:tc>
            </w:tr>
            <w:tr w:rsidR="009A6DB1" w:rsidTr="009A6DB1">
              <w:tc>
                <w:tcPr>
                  <w:tcW w:w="8619" w:type="dxa"/>
                </w:tcPr>
                <w:p w:rsidR="009A6DB1" w:rsidRPr="009A6DB1" w:rsidRDefault="009A6DB1" w:rsidP="009A6DB1">
                  <w:pPr>
                    <w:pStyle w:val="ac"/>
                    <w:numPr>
                      <w:ilvl w:val="0"/>
                      <w:numId w:val="6"/>
                    </w:numPr>
                    <w:snapToGrid w:val="0"/>
                    <w:spacing w:after="120" w:line="280" w:lineRule="exact"/>
                    <w:ind w:leftChars="0"/>
                    <w:jc w:val="both"/>
                    <w:rPr>
                      <w:rFonts w:ascii="Times New Roman" w:eastAsia="DengXian" w:hAnsi="Times New Roman" w:cs="Times New Roman"/>
                      <w:kern w:val="2"/>
                      <w14:cntxtAlts/>
                    </w:rPr>
                  </w:pPr>
                  <w:r w:rsidRPr="009A6DB1">
                    <w:rPr>
                      <w:rFonts w:ascii="Times New Roman" w:eastAsia="DengXian" w:hAnsi="Times New Roman" w:cs="Times New Roman"/>
                      <w:kern w:val="2"/>
                      <w14:cntxtAlts/>
                    </w:rPr>
                    <w:t>Chinese New Year Activity (Understanding Activity for celebrating Chinese New Year)</w:t>
                  </w:r>
                </w:p>
              </w:tc>
            </w:tr>
            <w:tr w:rsidR="009A6DB1" w:rsidTr="009A6DB1">
              <w:tc>
                <w:tcPr>
                  <w:tcW w:w="8619" w:type="dxa"/>
                </w:tcPr>
                <w:p w:rsidR="009A6DB1" w:rsidRPr="009A6DB1" w:rsidRDefault="009A6DB1" w:rsidP="009A6DB1">
                  <w:pPr>
                    <w:pStyle w:val="ac"/>
                    <w:numPr>
                      <w:ilvl w:val="0"/>
                      <w:numId w:val="6"/>
                    </w:numPr>
                    <w:snapToGrid w:val="0"/>
                    <w:spacing w:after="120" w:line="280" w:lineRule="exact"/>
                    <w:ind w:leftChars="0"/>
                    <w:jc w:val="both"/>
                    <w:rPr>
                      <w:rFonts w:ascii="Times New Roman" w:eastAsia="DengXian" w:hAnsi="Times New Roman" w:cs="Times New Roman"/>
                      <w:kern w:val="2"/>
                      <w14:cntxtAlts/>
                    </w:rPr>
                  </w:pPr>
                  <w:r w:rsidRPr="009A6DB1">
                    <w:rPr>
                      <w:rFonts w:ascii="Times New Roman" w:eastAsia="DengXian" w:hAnsi="Times New Roman" w:cs="Times New Roman" w:hint="eastAsia"/>
                      <w:kern w:val="2"/>
                      <w14:cntxtAlts/>
                    </w:rPr>
                    <w:t>C</w:t>
                  </w:r>
                  <w:r w:rsidRPr="009A6DB1">
                    <w:rPr>
                      <w:rFonts w:ascii="Times New Roman" w:eastAsia="DengXian" w:hAnsi="Times New Roman" w:cs="Times New Roman"/>
                      <w:kern w:val="2"/>
                      <w14:cntxtAlts/>
                    </w:rPr>
                    <w:t>hinese New Year Cheering up Activity (Chinese Zodiac, greetings and customs)</w:t>
                  </w:r>
                </w:p>
              </w:tc>
            </w:tr>
            <w:tr w:rsidR="009A6DB1" w:rsidTr="009A6DB1">
              <w:tc>
                <w:tcPr>
                  <w:tcW w:w="8619" w:type="dxa"/>
                </w:tcPr>
                <w:p w:rsidR="009A6DB1" w:rsidRDefault="009A6DB1" w:rsidP="009A6DB1">
                  <w:pPr>
                    <w:snapToGrid w:val="0"/>
                    <w:spacing w:after="120" w:line="280" w:lineRule="exact"/>
                    <w:jc w:val="both"/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:u w:val="single"/>
                      <w14:cntxtAlts/>
                    </w:rPr>
                  </w:pPr>
                </w:p>
              </w:tc>
            </w:tr>
          </w:tbl>
          <w:p w:rsidR="009A6DB1" w:rsidRPr="009A6DB1" w:rsidRDefault="009A6DB1" w:rsidP="009A6DB1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u w:val="single"/>
                <w14:cntxtAlts/>
              </w:rPr>
            </w:pP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  <w:p w:rsidR="004D3908" w:rsidRPr="00141050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9A6DB1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845" w:type="dxa"/>
          </w:tcPr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9"/>
            </w:tblGrid>
            <w:tr w:rsidR="009A6DB1" w:rsidTr="009A6DB1">
              <w:tc>
                <w:tcPr>
                  <w:tcW w:w="8619" w:type="dxa"/>
                </w:tcPr>
                <w:p w:rsidR="009A6DB1" w:rsidRPr="009A6DB1" w:rsidRDefault="009A6DB1" w:rsidP="009A6DB1">
                  <w:pPr>
                    <w:pStyle w:val="ac"/>
                    <w:numPr>
                      <w:ilvl w:val="0"/>
                      <w:numId w:val="7"/>
                    </w:numPr>
                    <w:snapToGrid w:val="0"/>
                    <w:spacing w:after="120" w:line="280" w:lineRule="exact"/>
                    <w:ind w:leftChars="0"/>
                    <w:jc w:val="both"/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14:cntxtAlts/>
                    </w:rPr>
                  </w:pPr>
                  <w:r>
                    <w:rPr>
                      <w:rFonts w:ascii="Times New Roman" w:eastAsia="DengXian" w:hAnsi="Times New Roman" w:cs="Times New Roman" w:hint="eastAsia"/>
                      <w:kern w:val="2"/>
                      <w:sz w:val="26"/>
                      <w:szCs w:val="26"/>
                      <w14:cntxtAlts/>
                    </w:rPr>
                    <w:t>J</w:t>
                  </w:r>
                  <w:r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14:cntxtAlts/>
                    </w:rPr>
                    <w:t>uggling Group (Traditional Chinese juggling)</w:t>
                  </w:r>
                </w:p>
              </w:tc>
            </w:tr>
            <w:tr w:rsidR="009A6DB1" w:rsidTr="009A6DB1">
              <w:tc>
                <w:tcPr>
                  <w:tcW w:w="8619" w:type="dxa"/>
                </w:tcPr>
                <w:p w:rsidR="009A6DB1" w:rsidRPr="009A6DB1" w:rsidRDefault="009A6DB1" w:rsidP="009A6DB1">
                  <w:pPr>
                    <w:pStyle w:val="ac"/>
                    <w:numPr>
                      <w:ilvl w:val="0"/>
                      <w:numId w:val="7"/>
                    </w:numPr>
                    <w:snapToGrid w:val="0"/>
                    <w:spacing w:after="120" w:line="280" w:lineRule="exact"/>
                    <w:ind w:leftChars="0"/>
                    <w:jc w:val="both"/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14:cntxtAlts/>
                    </w:rPr>
                  </w:pPr>
                  <w:r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14:cntxtAlts/>
                    </w:rPr>
                    <w:t xml:space="preserve">Chinese Ink Painting Exhibition at MTR </w:t>
                  </w:r>
                  <w:proofErr w:type="spellStart"/>
                  <w:r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14:cntxtAlts/>
                    </w:rPr>
                    <w:t>Shek</w:t>
                  </w:r>
                  <w:proofErr w:type="spellEnd"/>
                  <w:r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14:cntxtAlts/>
                    </w:rPr>
                    <w:t xml:space="preserve"> Kip Mei Station (Chinese Arts)</w:t>
                  </w:r>
                </w:p>
              </w:tc>
            </w:tr>
          </w:tbl>
          <w:p w:rsidR="004D3908" w:rsidRPr="003045A9" w:rsidDel="001A60C1" w:rsidRDefault="004D3908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</w:tbl>
    <w:p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D2099B" w:rsidRPr="003045A9" w:rsidRDefault="00E9557C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(one or more options can be </w:t>
      </w:r>
      <w:proofErr w:type="gramStart"/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selected)#</w:t>
      </w:r>
      <w:proofErr w:type="gramEnd"/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</w:p>
    <w:p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703"/>
      </w:tblGrid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9A6DB1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9A6DB1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1509AC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progress (including learning of Chinese)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NCS student(s) with their parents</w:t>
            </w:r>
            <w:r w:rsidR="001509A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on a regular basis</w:t>
            </w:r>
          </w:p>
        </w:tc>
      </w:tr>
      <w:tr w:rsidR="00C3025C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C3025C" w:rsidRPr="003045A9" w:rsidRDefault="009A6DB1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for their children</w:t>
            </w:r>
          </w:p>
        </w:tc>
      </w:tr>
      <w:tr w:rsidR="00AF09CB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AF09CB" w:rsidRPr="003045A9" w:rsidRDefault="009A6DB1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703" w:type="dxa"/>
            <w:shd w:val="clear" w:color="auto" w:fill="auto"/>
          </w:tcPr>
          <w:p w:rsidR="00AF09CB" w:rsidRPr="003045A9" w:rsidRDefault="00AF09CB" w:rsidP="002F60BD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Explaining to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parents of NCS student(s)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and </w:t>
            </w:r>
            <w:r w:rsidR="002F60BD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emphasising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the importance for their children to master the Chinese language</w:t>
            </w:r>
          </w:p>
        </w:tc>
      </w:tr>
      <w:tr w:rsidR="00C3025C" w:rsidRPr="003C5A64" w:rsidTr="001E0A70">
        <w:trPr>
          <w:trHeight w:val="1269"/>
        </w:trPr>
        <w:tc>
          <w:tcPr>
            <w:tcW w:w="510" w:type="dxa"/>
            <w:shd w:val="clear" w:color="auto" w:fill="auto"/>
          </w:tcPr>
          <w:p w:rsidR="00C3025C" w:rsidRPr="003045A9" w:rsidRDefault="009A6DB1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" w:char="F0FE"/>
            </w:r>
          </w:p>
        </w:tc>
        <w:tc>
          <w:tcPr>
            <w:tcW w:w="8703" w:type="dxa"/>
          </w:tcPr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7"/>
            </w:tblGrid>
            <w:tr w:rsidR="009A6DB1" w:rsidTr="00C42064">
              <w:tc>
                <w:tcPr>
                  <w:tcW w:w="8477" w:type="dxa"/>
                </w:tcPr>
                <w:p w:rsidR="009A6DB1" w:rsidRPr="00C42064" w:rsidRDefault="009A6DB1" w:rsidP="00C42064">
                  <w:pPr>
                    <w:rPr>
                      <w:rFonts w:ascii="Times New Roman" w:eastAsia="DengXian" w:hAnsi="Times New Roman" w:cs="Times New Roman"/>
                      <w:sz w:val="26"/>
                      <w:szCs w:val="26"/>
                    </w:rPr>
                  </w:pPr>
                  <w:r w:rsidRPr="00C42064"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14:cntxtAlts/>
                    </w:rPr>
                    <w:t>School Magazine</w:t>
                  </w:r>
                  <w:r w:rsidR="00C42064" w:rsidRPr="00C42064">
                    <w:rPr>
                      <w:rFonts w:ascii="Times New Roman" w:eastAsia="DengXian" w:hAnsi="Times New Roman" w:cs="Times New Roman"/>
                      <w:kern w:val="2"/>
                      <w:sz w:val="26"/>
                      <w:szCs w:val="26"/>
                      <w14:cntxtAlts/>
                    </w:rPr>
                    <w:t xml:space="preserve"> </w:t>
                  </w:r>
                  <w:r w:rsidR="00C42064" w:rsidRPr="00C42064">
                    <w:rPr>
                      <w:rFonts w:ascii="Times New Roman" w:eastAsia="DengXian" w:hAnsi="Times New Roman" w:cs="Times New Roman"/>
                      <w:sz w:val="26"/>
                      <w:szCs w:val="26"/>
                    </w:rPr>
                    <w:t>“</w:t>
                  </w:r>
                  <w:proofErr w:type="gramStart"/>
                  <w:r w:rsidR="00C42064" w:rsidRPr="00C42064">
                    <w:rPr>
                      <w:rFonts w:ascii="Times New Roman" w:eastAsia="DengXian" w:hAnsi="Times New Roman" w:cs="Times New Roman"/>
                      <w:sz w:val="26"/>
                      <w:szCs w:val="26"/>
                    </w:rPr>
                    <w:t>Headline ”</w:t>
                  </w:r>
                  <w:proofErr w:type="gramEnd"/>
                  <w:r w:rsidR="00C42064" w:rsidRPr="00C42064">
                    <w:rPr>
                      <w:rFonts w:ascii="Times New Roman" w:eastAsia="DengXian" w:hAnsi="Times New Roman" w:cs="Times New Roman"/>
                      <w:sz w:val="26"/>
                      <w:szCs w:val="26"/>
                    </w:rPr>
                    <w:t xml:space="preserve"> with Parent Message Board for sharing and </w:t>
                  </w:r>
                </w:p>
              </w:tc>
            </w:tr>
            <w:tr w:rsidR="009A6DB1" w:rsidTr="00C42064">
              <w:tc>
                <w:tcPr>
                  <w:tcW w:w="8477" w:type="dxa"/>
                </w:tcPr>
                <w:p w:rsidR="009A6DB1" w:rsidRPr="00C42064" w:rsidRDefault="00C42064" w:rsidP="00D24115">
                  <w:pPr>
                    <w:adjustRightInd w:val="0"/>
                    <w:snapToGrid w:val="0"/>
                    <w:spacing w:after="120" w:line="280" w:lineRule="exact"/>
                    <w:jc w:val="both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  <w:lang w:eastAsia="zh-TW"/>
                      <w14:cntxtAlts/>
                    </w:rPr>
                  </w:pPr>
                  <w:r>
                    <w:rPr>
                      <w:rFonts w:ascii="Times New Roman" w:eastAsia="DengXian" w:hAnsi="Times New Roman" w:cs="Times New Roman"/>
                      <w:sz w:val="26"/>
                      <w:szCs w:val="26"/>
                    </w:rPr>
                    <w:t>e</w:t>
                  </w:r>
                  <w:r w:rsidRPr="00C42064">
                    <w:rPr>
                      <w:rFonts w:ascii="Times New Roman" w:eastAsia="DengXian" w:hAnsi="Times New Roman" w:cs="Times New Roman"/>
                      <w:sz w:val="26"/>
                      <w:szCs w:val="26"/>
                    </w:rPr>
                    <w:t>xchanging</w:t>
                  </w:r>
                  <w:r>
                    <w:rPr>
                      <w:rFonts w:ascii="Times New Roman" w:eastAsia="DengXian" w:hAnsi="Times New Roman" w:cs="Times New Roman"/>
                      <w:sz w:val="26"/>
                      <w:szCs w:val="26"/>
                    </w:rPr>
                    <w:t xml:space="preserve"> opinion</w:t>
                  </w:r>
                </w:p>
              </w:tc>
            </w:tr>
            <w:tr w:rsidR="00C42064" w:rsidTr="00C42064">
              <w:tc>
                <w:tcPr>
                  <w:tcW w:w="8477" w:type="dxa"/>
                </w:tcPr>
                <w:p w:rsidR="00C42064" w:rsidRPr="00C42064" w:rsidRDefault="00C42064" w:rsidP="00D24115">
                  <w:pPr>
                    <w:adjustRightInd w:val="0"/>
                    <w:snapToGrid w:val="0"/>
                    <w:spacing w:after="120" w:line="280" w:lineRule="exact"/>
                    <w:jc w:val="both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  <w:lang w:eastAsia="zh-TW"/>
                      <w14:cntxtAlts/>
                    </w:rPr>
                  </w:pPr>
                </w:p>
              </w:tc>
            </w:tr>
          </w:tbl>
          <w:p w:rsidR="00C3025C" w:rsidRPr="003045A9" w:rsidDel="001A60C1" w:rsidRDefault="00C3025C" w:rsidP="00D24115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C5A64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[#:</w:t>
            </w:r>
          </w:p>
        </w:tc>
        <w:tc>
          <w:tcPr>
            <w:tcW w:w="8703" w:type="dxa"/>
          </w:tcPr>
          <w:p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support measures mentioned in Parts (1) to (3) above are for reference only.  Depending on the different learning progress and needs of NCS student(s)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each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school year, as well as </w:t>
            </w:r>
            <w:r w:rsidRPr="00E217EF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HK"/>
                <w14:cntxtAlts/>
              </w:rPr>
              <w:t>a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 xml:space="preserve">llocation of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school resources, our school will adjust the support measures concerned.]</w:t>
            </w:r>
          </w:p>
        </w:tc>
      </w:tr>
      <w:tr w:rsidR="00AF09CB" w:rsidRPr="003C5A64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:rsidR="008549BE" w:rsidRDefault="008549BE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  <w:p w:rsidR="00AF09CB" w:rsidRPr="002D0FB5" w:rsidRDefault="00AF09CB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enquiries about the education support our school provides for NCS student(s), please contact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</w:t>
            </w:r>
            <w:r w:rsidR="00C4206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YIP</w:t>
            </w:r>
            <w:proofErr w:type="gramEnd"/>
            <w:r w:rsidR="00C4206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WING SZE CANDY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at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</w:t>
            </w:r>
            <w:r w:rsidR="00C42064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2778 7928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.)</w:t>
            </w:r>
            <w:r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.</w:t>
            </w:r>
          </w:p>
        </w:tc>
      </w:tr>
    </w:tbl>
    <w:p w:rsidR="003C5A64" w:rsidRPr="00183FBC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  <w14:cntxtAlts/>
        </w:rPr>
      </w:pPr>
    </w:p>
    <w:sectPr w:rsidR="003C5A64" w:rsidRPr="00183FBC" w:rsidSect="00D24115">
      <w:footerReference w:type="default" r:id="rId8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BEA" w:rsidRDefault="00F12BEA" w:rsidP="00AE0B8A">
      <w:pPr>
        <w:spacing w:after="0" w:line="240" w:lineRule="auto"/>
      </w:pPr>
      <w:r>
        <w:separator/>
      </w:r>
    </w:p>
  </w:endnote>
  <w:endnote w:type="continuationSeparator" w:id="0">
    <w:p w:rsidR="00F12BEA" w:rsidRDefault="00F12BEA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0D131F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144D41" w:rsidRPr="00144D41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BEA" w:rsidRDefault="00F12BEA" w:rsidP="00AE0B8A">
      <w:pPr>
        <w:spacing w:after="0" w:line="240" w:lineRule="auto"/>
      </w:pPr>
      <w:r>
        <w:separator/>
      </w:r>
    </w:p>
  </w:footnote>
  <w:footnote w:type="continuationSeparator" w:id="0">
    <w:p w:rsidR="00F12BEA" w:rsidRDefault="00F12BEA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634"/>
    <w:multiLevelType w:val="hybridMultilevel"/>
    <w:tmpl w:val="A4A6058A"/>
    <w:lvl w:ilvl="0" w:tplc="27CAD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EC13E0"/>
    <w:multiLevelType w:val="hybridMultilevel"/>
    <w:tmpl w:val="5346138E"/>
    <w:lvl w:ilvl="0" w:tplc="92C65C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Z7A2FNPNUdsWmUa+0NoiRHn3F1ocw8P6mDu8dvJGe8dSiHAVtTCcGHbNAkvKv0Zv0aVD5lttr1jbsjjIvYK0w==" w:salt="Zikx88mEOTpAtjpn4cHO5Q==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2CC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643"/>
    <w:rsid w:val="0010326D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45B2"/>
    <w:rsid w:val="001408A3"/>
    <w:rsid w:val="00141050"/>
    <w:rsid w:val="00144D41"/>
    <w:rsid w:val="00146F17"/>
    <w:rsid w:val="001509AC"/>
    <w:rsid w:val="001578DA"/>
    <w:rsid w:val="00171952"/>
    <w:rsid w:val="00173997"/>
    <w:rsid w:val="0017452A"/>
    <w:rsid w:val="001751C7"/>
    <w:rsid w:val="001766E2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6DA"/>
    <w:rsid w:val="001C6436"/>
    <w:rsid w:val="001D2097"/>
    <w:rsid w:val="001D3061"/>
    <w:rsid w:val="001E0A70"/>
    <w:rsid w:val="001E1CEC"/>
    <w:rsid w:val="001E2BEC"/>
    <w:rsid w:val="001E77E6"/>
    <w:rsid w:val="001F473E"/>
    <w:rsid w:val="001F592A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A34E2"/>
    <w:rsid w:val="002A3993"/>
    <w:rsid w:val="002A403F"/>
    <w:rsid w:val="002B0ECF"/>
    <w:rsid w:val="002B41FA"/>
    <w:rsid w:val="002C0FFD"/>
    <w:rsid w:val="002C2F76"/>
    <w:rsid w:val="002C7C84"/>
    <w:rsid w:val="002D0FB5"/>
    <w:rsid w:val="002D1794"/>
    <w:rsid w:val="002D465D"/>
    <w:rsid w:val="002D6A1F"/>
    <w:rsid w:val="002E06D3"/>
    <w:rsid w:val="002E1276"/>
    <w:rsid w:val="002E4841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85CB8"/>
    <w:rsid w:val="003913AD"/>
    <w:rsid w:val="00392536"/>
    <w:rsid w:val="00393B19"/>
    <w:rsid w:val="00396D3B"/>
    <w:rsid w:val="003A2C53"/>
    <w:rsid w:val="003A567B"/>
    <w:rsid w:val="003B2599"/>
    <w:rsid w:val="003B2CD7"/>
    <w:rsid w:val="003B723A"/>
    <w:rsid w:val="003C20D3"/>
    <w:rsid w:val="003C35B0"/>
    <w:rsid w:val="003C5A64"/>
    <w:rsid w:val="003D41D2"/>
    <w:rsid w:val="003D7112"/>
    <w:rsid w:val="003E13EF"/>
    <w:rsid w:val="003E4DCE"/>
    <w:rsid w:val="003F5B94"/>
    <w:rsid w:val="00401F1C"/>
    <w:rsid w:val="00402639"/>
    <w:rsid w:val="00402891"/>
    <w:rsid w:val="00403421"/>
    <w:rsid w:val="00405189"/>
    <w:rsid w:val="0041337F"/>
    <w:rsid w:val="00416E9F"/>
    <w:rsid w:val="004314EE"/>
    <w:rsid w:val="00433F26"/>
    <w:rsid w:val="004464B8"/>
    <w:rsid w:val="00456D6B"/>
    <w:rsid w:val="00457338"/>
    <w:rsid w:val="0046314E"/>
    <w:rsid w:val="00474CFE"/>
    <w:rsid w:val="00480354"/>
    <w:rsid w:val="00485A6F"/>
    <w:rsid w:val="00485FD9"/>
    <w:rsid w:val="0049314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34C3C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1FD2"/>
    <w:rsid w:val="00612B73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59D8"/>
    <w:rsid w:val="00675CF6"/>
    <w:rsid w:val="00675D89"/>
    <w:rsid w:val="00676D49"/>
    <w:rsid w:val="006935B6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703C92"/>
    <w:rsid w:val="007051EC"/>
    <w:rsid w:val="007075DE"/>
    <w:rsid w:val="007149DB"/>
    <w:rsid w:val="00715707"/>
    <w:rsid w:val="0072092E"/>
    <w:rsid w:val="00722952"/>
    <w:rsid w:val="00727A00"/>
    <w:rsid w:val="00735982"/>
    <w:rsid w:val="007369CA"/>
    <w:rsid w:val="00746848"/>
    <w:rsid w:val="007679DB"/>
    <w:rsid w:val="00775D72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B7"/>
    <w:rsid w:val="007C3196"/>
    <w:rsid w:val="007C7524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31081"/>
    <w:rsid w:val="0083174A"/>
    <w:rsid w:val="00833291"/>
    <w:rsid w:val="00841560"/>
    <w:rsid w:val="0085021D"/>
    <w:rsid w:val="00852C34"/>
    <w:rsid w:val="008549BE"/>
    <w:rsid w:val="008600EC"/>
    <w:rsid w:val="00860CCA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3CC8"/>
    <w:rsid w:val="008D2C13"/>
    <w:rsid w:val="008D3CC9"/>
    <w:rsid w:val="008D55A0"/>
    <w:rsid w:val="008D6146"/>
    <w:rsid w:val="008E2A51"/>
    <w:rsid w:val="008E46D3"/>
    <w:rsid w:val="008E4CD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722E9"/>
    <w:rsid w:val="009805DA"/>
    <w:rsid w:val="009821BD"/>
    <w:rsid w:val="00984486"/>
    <w:rsid w:val="009865E1"/>
    <w:rsid w:val="00987AD9"/>
    <w:rsid w:val="009922A4"/>
    <w:rsid w:val="009930F8"/>
    <w:rsid w:val="009A6DB1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4B4F"/>
    <w:rsid w:val="00A514A3"/>
    <w:rsid w:val="00A57686"/>
    <w:rsid w:val="00A667D0"/>
    <w:rsid w:val="00A716A1"/>
    <w:rsid w:val="00A71E8A"/>
    <w:rsid w:val="00A755AA"/>
    <w:rsid w:val="00A82BD6"/>
    <w:rsid w:val="00A90E9E"/>
    <w:rsid w:val="00A95FC5"/>
    <w:rsid w:val="00AA2C3D"/>
    <w:rsid w:val="00AA3C50"/>
    <w:rsid w:val="00AA47B2"/>
    <w:rsid w:val="00AB15AD"/>
    <w:rsid w:val="00AB17C4"/>
    <w:rsid w:val="00AC57F9"/>
    <w:rsid w:val="00AC6E48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71613"/>
    <w:rsid w:val="00B722B4"/>
    <w:rsid w:val="00B80357"/>
    <w:rsid w:val="00B83257"/>
    <w:rsid w:val="00B83B5E"/>
    <w:rsid w:val="00B8572C"/>
    <w:rsid w:val="00B85AD7"/>
    <w:rsid w:val="00BA4FC4"/>
    <w:rsid w:val="00BC6339"/>
    <w:rsid w:val="00BD020E"/>
    <w:rsid w:val="00BD22ED"/>
    <w:rsid w:val="00BD4146"/>
    <w:rsid w:val="00BD4F9D"/>
    <w:rsid w:val="00BD5D7C"/>
    <w:rsid w:val="00BE12A1"/>
    <w:rsid w:val="00BE5678"/>
    <w:rsid w:val="00BE56C2"/>
    <w:rsid w:val="00BF5B88"/>
    <w:rsid w:val="00C03673"/>
    <w:rsid w:val="00C042E3"/>
    <w:rsid w:val="00C10E93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2064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49C5"/>
    <w:rsid w:val="00CA66EE"/>
    <w:rsid w:val="00CB0CCB"/>
    <w:rsid w:val="00CB33C4"/>
    <w:rsid w:val="00CB557C"/>
    <w:rsid w:val="00CC0C52"/>
    <w:rsid w:val="00CC1860"/>
    <w:rsid w:val="00CD05F3"/>
    <w:rsid w:val="00CD05FE"/>
    <w:rsid w:val="00CD3925"/>
    <w:rsid w:val="00CE081C"/>
    <w:rsid w:val="00CE4D75"/>
    <w:rsid w:val="00CF083E"/>
    <w:rsid w:val="00CF1756"/>
    <w:rsid w:val="00CF3191"/>
    <w:rsid w:val="00CF599A"/>
    <w:rsid w:val="00D001E4"/>
    <w:rsid w:val="00D0220E"/>
    <w:rsid w:val="00D03311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2D32"/>
    <w:rsid w:val="00DC3C62"/>
    <w:rsid w:val="00DC4476"/>
    <w:rsid w:val="00DC7688"/>
    <w:rsid w:val="00DC788B"/>
    <w:rsid w:val="00DE17D7"/>
    <w:rsid w:val="00E019EB"/>
    <w:rsid w:val="00E112F0"/>
    <w:rsid w:val="00E12D07"/>
    <w:rsid w:val="00E16CB4"/>
    <w:rsid w:val="00E22299"/>
    <w:rsid w:val="00E2384F"/>
    <w:rsid w:val="00E33D08"/>
    <w:rsid w:val="00E42AE9"/>
    <w:rsid w:val="00E4406B"/>
    <w:rsid w:val="00E442B2"/>
    <w:rsid w:val="00E46FA0"/>
    <w:rsid w:val="00E63CEA"/>
    <w:rsid w:val="00E71EA6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1B1B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2BEA"/>
    <w:rsid w:val="00F142C6"/>
    <w:rsid w:val="00F21946"/>
    <w:rsid w:val="00F35DD9"/>
    <w:rsid w:val="00F40FEF"/>
    <w:rsid w:val="00F41A2D"/>
    <w:rsid w:val="00F4638D"/>
    <w:rsid w:val="00F623FD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F133-0D4C-4872-B8CE-DF1F9199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652</Words>
  <Characters>3723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TWGHs Kwan Fong Kai Chi School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許景生</cp:lastModifiedBy>
  <cp:revision>8</cp:revision>
  <cp:lastPrinted>2020-09-03T02:45:00Z</cp:lastPrinted>
  <dcterms:created xsi:type="dcterms:W3CDTF">2021-07-15T08:26:00Z</dcterms:created>
  <dcterms:modified xsi:type="dcterms:W3CDTF">2022-07-18T02:19:00Z</dcterms:modified>
</cp:coreProperties>
</file>